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Özet Bildiri Değerlendirme Raporu</w:t>
      </w:r>
    </w:p>
    <w:p>
      <w:pPr>
        <w:pStyle w:val="Normal"/>
        <w:rPr>
          <w:i/>
          <w:iCs/>
        </w:rPr>
      </w:pPr>
      <w:r>
        <w:rPr>
          <w:i/>
          <w:iCs/>
        </w:rPr>
      </w:r>
    </w:p>
    <w:p>
      <w:pPr>
        <w:pStyle w:val="Normal"/>
        <w:jc w:val="both"/>
        <w:rPr/>
      </w:pPr>
      <w:r>
        <w:rPr>
          <w:i/>
          <w:iCs/>
        </w:rPr>
        <w:t xml:space="preserve">From Productivity Dip to Well-Being Dividend: Empirical Evidence of AI Integration in Higher Education (2020-2025) </w:t>
      </w:r>
      <w:r>
        <w:rPr/>
        <w:t>başlıklı çalışma, yükseköğretimde yapay zeka entegrasyonunun ekonomik ve sosyal etkilerini “Verimlilik J-Eğrisi” teorik çerçevesinde ampirik bir yaklaşımla ele almaktadır. 38 OECD ülkesini kapsayan veri seti ve disiplinlerarası metodolojisi ile dikkat çeken araştırma, yapay zeka yatırımlarının başlangıçta yarattığı performans düşüşünün ardından toparlanma sürecini “otomasyon” ve “insan kapasitesini artırma (augmentation)” stratejileri üzerinden karşılaştırmaktadır. Özellikle öğretmenleri ikame etmek yerine destekleyen yaklaşımların %15-18 daha hızlı verimlilik artışı sağladığına dair bulgusu, eğitim politikaları açısından özgün bir katkı olarak ele alınabilir.</w:t>
      </w:r>
    </w:p>
    <w:p>
      <w:pPr>
        <w:pStyle w:val="Normal"/>
        <w:rPr/>
      </w:pPr>
      <w:r>
        <w:rPr/>
      </w:r>
    </w:p>
    <w:p>
      <w:pPr>
        <w:pStyle w:val="Normal"/>
        <w:jc w:val="both"/>
        <w:rPr/>
      </w:pPr>
      <w:r>
        <w:rPr/>
        <w:t xml:space="preserve">Çalışma, geleneksel başarı metriklerinin ötesine geçerek “öznel refah” kavramını bir insani sermaye göstergesi olarak modele dahil etmekte, böylelikle literatüre önemli bir katkı sağlamaktadır. Metnin akademik dili, kavramsal derinliği ve sunduğu kanıta dayalı politika önerileri, çalışmanın bilimsel niteliğinin varlığına işaret etmektedir. Sonuç olarak, bu bildirinin konferans kapsamına alınması akademik açıdan yerinde bir karar olarak değerlendirilmektedir. </w:t>
      </w:r>
    </w:p>
    <w:p>
      <w:pPr>
        <w:pStyle w:val="Normal"/>
        <w:jc w:val="both"/>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spacing w:lineRule="auto" w:line="276"/>
        <w:rPr/>
      </w:pPr>
      <w:r>
        <w:rPr/>
        <w:t>I am pleased to confirm that I </w:t>
      </w:r>
      <w:r>
        <w:rPr>
          <w:b/>
          <w:bCs/>
        </w:rPr>
        <w:t>accept the abstract</w:t>
      </w:r>
      <w:r>
        <w:rPr/>
        <w:t> entitled </w:t>
      </w:r>
      <w:r>
        <w:rPr>
          <w:i/>
          <w:iCs/>
        </w:rPr>
        <w:t>“Portfolio Choice among Alternative Portfolio Selection Criteria using Multi-Criteria TOPSIS.”</w:t>
      </w:r>
      <w:r>
        <w:rPr/>
        <w:t> I believe the topic is timely and relevant, and that the proposed multi-criteria framework offers a meaningful contribution to the literature on portfolio selection by systematically comparing alternative risk, return, and risk-adjusted performance measures.</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spacing w:lineRule="auto" w:line="276"/>
        <w:jc w:val="center"/>
        <w:rPr/>
      </w:pPr>
      <w:r>
        <w:rPr>
          <w:rFonts w:asciiTheme="minorBidi" w:hAnsiTheme="minorBidi"/>
          <w:lang w:val="en-US"/>
        </w:rPr>
        <w:t xml:space="preserve">Report on </w:t>
      </w:r>
      <w:r>
        <w:rPr>
          <w:rFonts w:asciiTheme="minorBidi" w:hAnsiTheme="minorBidi"/>
          <w:b/>
          <w:bCs/>
          <w:sz w:val="28"/>
          <w:szCs w:val="28"/>
          <w:lang w:val="en-US"/>
        </w:rPr>
        <w:t>AI, Sustainable Growth, and Long-Term Value Creation</w:t>
      </w:r>
    </w:p>
    <w:p>
      <w:pPr>
        <w:pStyle w:val="Normal"/>
        <w:spacing w:lineRule="auto" w:line="276"/>
        <w:jc w:val="center"/>
        <w:rPr>
          <w:rFonts w:asciiTheme="minorBidi" w:hAnsiTheme="minorBidi"/>
          <w:b/>
          <w:bCs/>
          <w:sz w:val="28"/>
          <w:szCs w:val="28"/>
          <w:lang w:val="en-US"/>
        </w:rPr>
      </w:pPr>
      <w:r>
        <w:rPr>
          <w:rFonts w:asciiTheme="minorBidi" w:hAnsiTheme="minorBidi"/>
          <w:b/>
          <w:bCs/>
          <w:sz w:val="28"/>
          <w:szCs w:val="28"/>
          <w:lang w:val="en-US"/>
        </w:rPr>
      </w:r>
    </w:p>
    <w:p>
      <w:pPr>
        <w:pStyle w:val="Normal"/>
        <w:spacing w:lineRule="auto" w:line="276"/>
        <w:rPr>
          <w:rFonts w:asciiTheme="minorBidi" w:hAnsiTheme="minorBidi"/>
          <w:lang w:val="en-US"/>
        </w:rPr>
      </w:pPr>
      <w:r>
        <w:rPr>
          <w:rFonts w:asciiTheme="minorBidi" w:hAnsiTheme="minorBidi"/>
          <w:lang w:val="en-US"/>
        </w:rPr>
        <w:t>The chapter focuses on three key issues and try to provide answers to three key issues related to AI:</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1. How AI-driven technologies influence productivity trajectories by augmenting human capabilities, optimizing decision-making processes, and enabling learning-intensive forms of innovation.</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2. The role of AI in enhancing resource efficiency and addressing environmental challenges.</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3. The contribution of AI to the development of inclusive and resilient economic systems.</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If the paper, as is promised, provide rational answers to these three questions, it will make a significant contribution to existing literature.</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Most importantly:</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If the chapter develops “…an integrated framework for evaluating AI-driven economic efficiency that simultaneously accounts for productivity growth, environmental sustainability, and long-term societal value.”, then the contribution becomes so significant.</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But I have a concern about this integrated framework, because most people have been arguing that AI-driven economic efficiency will create many adverse effects on economies and companies causing widening income gap among the nations, within the nations and causing rising risks of failure of companies investing heavily on AI. Possible environmental damages of AI should be also main concern.</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b/>
          <w:bCs/>
          <w:color w:val="FF0000"/>
          <w:lang w:val="en-US"/>
        </w:rPr>
      </w:pPr>
      <w:r>
        <w:rPr>
          <w:rFonts w:asciiTheme="minorBidi" w:hAnsiTheme="minorBidi"/>
          <w:b/>
          <w:bCs/>
          <w:color w:val="FF0000"/>
          <w:lang w:val="en-US"/>
        </w:rPr>
        <w:t>Decision: Accept</w:t>
      </w:r>
    </w:p>
    <w:p>
      <w:pPr>
        <w:pStyle w:val="Normal"/>
        <w:spacing w:lineRule="auto" w:line="276"/>
        <w:rPr>
          <w:rFonts w:asciiTheme="minorBidi" w:hAnsiTheme="minorBidi"/>
          <w:b/>
          <w:bCs/>
          <w:color w:val="FF0000"/>
          <w:lang w:val="en-US"/>
        </w:rPr>
      </w:pPr>
      <w:r>
        <w:rPr>
          <w:rFonts w:asciiTheme="minorBidi" w:hAnsiTheme="minorBidi"/>
          <w:b/>
          <w:bCs/>
          <w:color w:val="FF0000"/>
          <w:lang w:val="en-US"/>
        </w:rPr>
      </w:r>
    </w:p>
    <w:p>
      <w:pPr>
        <w:pStyle w:val="Normal"/>
        <w:spacing w:lineRule="auto" w:line="276"/>
        <w:rPr>
          <w:rFonts w:asciiTheme="minorBidi" w:hAnsiTheme="minorBidi"/>
          <w:lang w:val="en-US"/>
        </w:rPr>
      </w:pPr>
      <w:r>
        <w:rPr>
          <w:rFonts w:asciiTheme="minorBidi" w:hAnsiTheme="minorBidi"/>
          <w:b/>
          <w:bCs/>
          <w:sz w:val="28"/>
          <w:szCs w:val="28"/>
          <w:lang w:val="en-US"/>
        </w:rPr>
      </w:r>
      <w:r>
        <w:br w:type="page"/>
      </w:r>
    </w:p>
    <w:p>
      <w:pPr>
        <w:pStyle w:val="Normal"/>
        <w:spacing w:lineRule="auto" w:line="276" w:before="0" w:after="160"/>
        <w:jc w:val="center"/>
        <w:rPr>
          <w:rFonts w:asciiTheme="minorBidi" w:hAnsiTheme="minorBidi"/>
          <w:b/>
          <w:bCs/>
          <w:sz w:val="28"/>
          <w:szCs w:val="28"/>
          <w:lang w:val="en-US"/>
        </w:rPr>
      </w:pPr>
      <w:r>
        <w:rPr>
          <w:rFonts w:asciiTheme="minorBidi" w:hAnsiTheme="minorBidi"/>
          <w:b/>
          <w:bCs/>
          <w:sz w:val="28"/>
          <w:szCs w:val="28"/>
          <w:lang w:val="en-US"/>
        </w:rPr>
        <w:t>AI, Sustainable Growth, and Long-Term Value Creation</w:t>
      </w:r>
    </w:p>
    <w:p>
      <w:pPr>
        <w:pStyle w:val="Normal"/>
        <w:spacing w:lineRule="auto" w:line="276"/>
        <w:rPr>
          <w:rFonts w:asciiTheme="minorBidi" w:hAnsiTheme="minorBidi"/>
          <w:b/>
          <w:bCs/>
        </w:rPr>
      </w:pPr>
      <w:r>
        <w:rPr>
          <w:rFonts w:asciiTheme="minorBidi" w:hAnsiTheme="minorBidi"/>
          <w:b/>
          <w:bCs/>
        </w:rPr>
        <w:t>Türkçe Özet</w:t>
      </w:r>
    </w:p>
    <w:p>
      <w:pPr>
        <w:pStyle w:val="Normal"/>
        <w:spacing w:lineRule="auto" w:line="276"/>
        <w:rPr>
          <w:rFonts w:asciiTheme="minorBidi" w:hAnsiTheme="minorBidi"/>
          <w:b/>
          <w:bCs/>
        </w:rPr>
      </w:pPr>
      <w:r>
        <w:rPr>
          <w:rFonts w:asciiTheme="minorBidi" w:hAnsiTheme="minorBidi"/>
          <w:b/>
          <w:bCs/>
        </w:rPr>
      </w:r>
    </w:p>
    <w:p>
      <w:pPr>
        <w:pStyle w:val="Normal"/>
        <w:spacing w:lineRule="auto" w:line="276"/>
        <w:rPr>
          <w:rFonts w:asciiTheme="minorBidi" w:hAnsiTheme="minorBidi"/>
        </w:rPr>
      </w:pPr>
      <w:r>
        <w:rPr>
          <w:rFonts w:asciiTheme="minorBidi" w:hAnsiTheme="minorBidi"/>
        </w:rPr>
        <w:t>Yapay zekâ (YZ), sürdürülebilir verimlilik artışının temel bir unsuru olarak giderek daha fazla konumlandırılmakta ve kısa vadeli verimlilik kazanımlarının ötesine geçerek ekonomik sistemler genelinde uzun vadeli değer yaratımına doğru genişlemektedir. Bu çalışma, YZ odaklı teknolojilerin insan yeteneklerini artırarak, karar alma süreçlerini optimize ederek ve öğrenme yoğun inovasyon biçimlerini mümkün kılarak verimlilik yörüngelerini nasıl etkilediğini incelemektedir. Evrimsel ekonomi ve inovasyon sistemleri perspektifleri çerçevesinde yapılan analiz, YZ'nin verimlilik üzerindeki etkilerinin, becerilere, örgütsel değişime ve kurumsal adaptasyona yapılan tamamlayıcı yatırımlara bağlı olduğunu vurgulamaktadır.</w:t>
      </w:r>
    </w:p>
    <w:p>
      <w:pPr>
        <w:pStyle w:val="Normal"/>
        <w:spacing w:lineRule="auto" w:line="276"/>
        <w:rPr>
          <w:rFonts w:asciiTheme="minorBidi" w:hAnsiTheme="minorBidi"/>
        </w:rPr>
      </w:pPr>
      <w:r>
        <w:rPr>
          <w:rFonts w:asciiTheme="minorBidi" w:hAnsiTheme="minorBidi"/>
        </w:rPr>
      </w:r>
    </w:p>
    <w:p>
      <w:pPr>
        <w:pStyle w:val="Normal"/>
        <w:spacing w:lineRule="auto" w:line="276"/>
        <w:rPr>
          <w:rFonts w:asciiTheme="minorBidi" w:hAnsiTheme="minorBidi"/>
        </w:rPr>
      </w:pPr>
      <w:r>
        <w:rPr>
          <w:rFonts w:asciiTheme="minorBidi" w:hAnsiTheme="minorBidi"/>
        </w:rPr>
        <w:t>Çalışma ayrıca, YZ'nin kaynak verimliliğini artırmadaki ve çevresel zorlukların üstesinden gelmedeki rolünü de ele almaktadır. Enerji yönetimini iyileştirerek, atıkları azaltarak ve döngüsel üretim modellerini destekleyerek, YZ'nin ekonomik büyümeyi kaynak tükenmesinden ayırma potansiyeli bulunmaktadır. Aynı zamanda, analiz, çevresel geri tepme etkilerini, veri ve enerji yoğun YZ altyapılarını ve sektörel etkilerin eşitsizliğini eleştirel bir şekilde ele alarak, sürdürülebilirlik odaklı yönetişim ve düzenleyici çerçevelere duyulan ihtiyacı vurgulamaktadır.</w:t>
      </w:r>
    </w:p>
    <w:p>
      <w:pPr>
        <w:pStyle w:val="Normal"/>
        <w:spacing w:lineRule="auto" w:line="276"/>
        <w:rPr>
          <w:rFonts w:asciiTheme="minorBidi" w:hAnsiTheme="minorBidi"/>
        </w:rPr>
      </w:pPr>
      <w:r>
        <w:rPr>
          <w:rFonts w:asciiTheme="minorBidi" w:hAnsiTheme="minorBidi"/>
        </w:rPr>
      </w:r>
    </w:p>
    <w:p>
      <w:pPr>
        <w:pStyle w:val="Normal"/>
        <w:spacing w:lineRule="auto" w:line="276"/>
        <w:rPr>
          <w:rFonts w:asciiTheme="minorBidi" w:hAnsiTheme="minorBidi"/>
        </w:rPr>
      </w:pPr>
      <w:r>
        <w:rPr>
          <w:rFonts w:asciiTheme="minorBidi" w:hAnsiTheme="minorBidi"/>
        </w:rPr>
        <w:t>Son olarak, bu bölüm yapay zekanın kapsayıcı ve dirençli ekonomik sistemlerin geliştirilmesine katkısını değerlendirmektedir. Bölüm, politika müdahalesi olmadan yapay zekanın benimsenmesinin gelir eşitsizliğini, işgücü piyasası kutuplaşmasını ve mekansal farklılaşmayı güçlendirme riski taşıdığını savunmaktadır. Tersine, kapsayıcı inovasyon stratejilerine ve koordineli politika çerçevelerine entegre edildiğinde, yapay zeka ekonomik direnci güçlendirebilir, yüksek kaliteli istihdama erişimi genişletebilir ve daha dengeli bölgesel kalkınmayı destekleyebilir. Bölüm, verimlilik artışını, çevresel sürdürülebilirliği ve uzun vadeli toplumsal değeri aynı anda hesaba katan, yapay zeka odaklı ekonomik verimliliği değerlendirmek için entegre bir çerçeve önererek sona ermektedir.</w:t>
      </w:r>
    </w:p>
    <w:p>
      <w:pPr>
        <w:pStyle w:val="Normal"/>
        <w:spacing w:lineRule="auto" w:line="276"/>
        <w:rPr>
          <w:rFonts w:asciiTheme="minorBidi" w:hAnsiTheme="minorBidi"/>
        </w:rPr>
      </w:pPr>
      <w:r>
        <w:rPr>
          <w:rFonts w:asciiTheme="minorBidi" w:hAnsiTheme="minorBidi"/>
        </w:rPr>
      </w:r>
    </w:p>
    <w:p>
      <w:pPr>
        <w:pStyle w:val="Normal"/>
        <w:spacing w:lineRule="auto" w:line="276"/>
        <w:rPr>
          <w:rFonts w:asciiTheme="minorBidi" w:hAnsiTheme="minorBidi"/>
          <w:b/>
          <w:bCs/>
          <w:lang w:val="en-US"/>
        </w:rPr>
      </w:pPr>
      <w:r>
        <w:rPr>
          <w:rFonts w:asciiTheme="minorBidi" w:hAnsiTheme="minorBidi"/>
          <w:b/>
          <w:bCs/>
          <w:lang w:val="en-US"/>
        </w:rPr>
        <w:t>İngilizce Özet</w:t>
      </w:r>
    </w:p>
    <w:p>
      <w:pPr>
        <w:pStyle w:val="Normal"/>
        <w:spacing w:lineRule="auto" w:line="276"/>
        <w:rPr>
          <w:rFonts w:asciiTheme="minorBidi" w:hAnsiTheme="minorBidi"/>
          <w:b/>
          <w:bCs/>
          <w:lang w:val="en-US"/>
        </w:rPr>
      </w:pPr>
      <w:r>
        <w:rPr>
          <w:rFonts w:asciiTheme="minorBidi" w:hAnsiTheme="minorBidi"/>
          <w:b/>
          <w:bCs/>
          <w:lang w:val="en-US"/>
        </w:rPr>
      </w:r>
    </w:p>
    <w:p>
      <w:pPr>
        <w:pStyle w:val="Normal"/>
        <w:spacing w:lineRule="auto" w:line="276"/>
        <w:rPr>
          <w:rFonts w:asciiTheme="minorBidi" w:hAnsiTheme="minorBidi"/>
          <w:lang w:val="en-US"/>
        </w:rPr>
      </w:pPr>
      <w:r>
        <w:rPr>
          <w:rFonts w:asciiTheme="minorBidi" w:hAnsiTheme="minorBidi"/>
          <w:lang w:val="en-US"/>
        </w:rPr>
        <w:t>Artificial intelligence (AI) is increasingly positioned as a key enabler of sustainable productivity growth, extending beyond short-term efficiency gains toward long-term value creation across economic systems. This chapter examines how AI-driven technologies influence productivity trajectories by augmenting human capabilities, optimizing decision-making processes, and enabling learning-intensive forms of innovation. Framed within evolutionary economics and innovation systems perspectives, the analysis emphasizes that the productivity effects of AI are contingent upon complementary investments in skills, organizational change, and institutional adaptation.</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The chapter further explores the role of AI in enhancing resource efficiency and addressing environmental challenges. By improving energy management, reducing waste, and supporting circular production models, AI has the potential to decouple economic growth from resource depletion. At the same time, the analysis critically addresses environmental rebound effects, data- and energy-intensive AI infrastructures, and uneven sectoral impacts, highlighting the need for sustainability-oriented governance and regulatory frameworks.</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rFonts w:asciiTheme="minorBidi" w:hAnsiTheme="minorBidi"/>
          <w:lang w:val="en-US"/>
        </w:rPr>
      </w:pPr>
      <w:r>
        <w:rPr>
          <w:rFonts w:asciiTheme="minorBidi" w:hAnsiTheme="minorBidi"/>
          <w:lang w:val="en-US"/>
        </w:rPr>
        <w:t>Finally, the chapter assesses the contribution of AI to the development of inclusive and resilient economic systems. It argues that without deliberate policy intervention, AI adoption risks reinforcing income inequality, labor market polarization, and spatial divergence. Conversely, when embedded in inclusive innovation strategies and coordinated policy frameworks, AI can strengthen economic resilience, expand access to high-quality employment, and support more balanced regional development. The chapter concludes by proposing an integrated framework for evaluating AI-driven economic efficiency that simultaneously accounts for productivity growth, environmental sustainability, and long-term societal value.</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pPr>
      <w:r>
        <w:rPr>
          <w:rFonts w:asciiTheme="minorBidi" w:hAnsiTheme="minorBidi"/>
          <w:b/>
          <w:bCs/>
          <w:lang w:val="en-US"/>
        </w:rPr>
        <w:t>Anahtar Kelimeler:</w:t>
      </w:r>
      <w:r>
        <w:rPr>
          <w:rFonts w:asciiTheme="minorBidi" w:hAnsiTheme="minorBidi"/>
          <w:lang w:val="en-US"/>
        </w:rPr>
        <w:t xml:space="preserve"> AI, sustainability-oriented governance, inclusive and resilient economic systems</w:t>
      </w:r>
    </w:p>
    <w:p>
      <w:pPr>
        <w:pStyle w:val="Normal"/>
        <w:spacing w:lineRule="auto" w:line="276"/>
        <w:rPr>
          <w:rFonts w:asciiTheme="minorBidi" w:hAnsiTheme="minorBidi"/>
          <w:lang w:val="en-US"/>
        </w:rPr>
      </w:pPr>
      <w:r>
        <w:rPr>
          <w:rFonts w:asciiTheme="minorBidi" w:hAnsiTheme="minorBidi"/>
          <w:lang w:val="en-US"/>
        </w:rPr>
      </w:r>
    </w:p>
    <w:p>
      <w:pPr>
        <w:pStyle w:val="Normal"/>
        <w:spacing w:lineRule="auto" w:line="276"/>
        <w:rPr/>
      </w:pPr>
      <w:r>
        <w:rPr>
          <w:rFonts w:asciiTheme="minorBidi" w:hAnsiTheme="minorBidi"/>
          <w:b/>
          <w:bCs/>
          <w:lang w:val="en-US"/>
        </w:rPr>
        <w:t>JEL Kodları:</w:t>
      </w:r>
      <w:r>
        <w:rPr>
          <w:rFonts w:asciiTheme="minorBidi" w:hAnsiTheme="minorBidi"/>
          <w:lang w:val="en-US"/>
        </w:rPr>
        <w:t xml:space="preserve"> O32, O33, O38</w:t>
      </w:r>
    </w:p>
    <w:p>
      <w:pPr>
        <w:pStyle w:val="Normal"/>
        <w:rPr>
          <w:rFonts w:asciiTheme="minorBidi" w:hAnsiTheme="minorBidi"/>
          <w:lang w:val="en-US"/>
        </w:rPr>
      </w:pPr>
      <w:r>
        <w:rPr>
          <w:rFonts w:asciiTheme="minorBidi" w:hAnsiTheme="minorBidi"/>
          <w:lang w:val="en-US"/>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2" w:characterSet="windows-1254"/>
    <w:family w:val="roman"/>
    <w:pitch w:val="variable"/>
  </w:font>
  <w:font w:name="Calibri">
    <w:charset w:val="a2" w:characterSet="windows-1254"/>
    <w:family w:val="roman"/>
    <w:pitch w:val="variable"/>
  </w:font>
  <w:font w:name="Liberation Sans">
    <w:altName w:val="Arial"/>
    <w:charset w:val="a2" w:characterSet="windows-1254"/>
    <w:family w:val="swiss"/>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tr-T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2"/>
      <w:sz w:val="24"/>
      <w:szCs w:val="24"/>
      <w:lang w:val="tr-TR"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rPr>
      <w:color w:themeColor="hyperlink" w:val="467886"/>
      <w:u w:val="single"/>
    </w:rPr>
  </w:style>
  <w:style w:type="character" w:styleId="FollowedHyperlink">
    <w:name w:val="FollowedHyperlink"/>
    <w:rPr>
      <w:color w:val="800000"/>
      <w:u w:val="single"/>
    </w:rPr>
  </w:style>
  <w:style w:type="character" w:styleId="NumaralamaSembolleri">
    <w:name w:val="Numaralama Sembolleri"/>
    <w:qFormat/>
    <w:rPr/>
  </w:style>
  <w:style w:type="paragraph" w:styleId="Balk">
    <w:name w:val="Başlı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Balkuser">
    <w:name w:val="Başlık (user)"/>
    <w:basedOn w:val="Normal"/>
    <w:next w:val="BodyText"/>
    <w:qFormat/>
    <w:pPr>
      <w:keepNext w:val="true"/>
      <w:spacing w:before="240" w:after="120"/>
    </w:pPr>
    <w:rPr>
      <w:rFonts w:ascii="Liberation Sans" w:hAnsi="Liberation Sans" w:eastAsia="Microsoft YaHei" w:cs="Arial"/>
      <w:sz w:val="28"/>
      <w:szCs w:val="28"/>
    </w:rPr>
  </w:style>
  <w:style w:type="paragraph" w:styleId="Dizinuser">
    <w:name w:val="Dizin (user)"/>
    <w:basedOn w:val="Normal"/>
    <w:qFormat/>
    <w:pPr>
      <w:suppressLineNumbers/>
    </w:pPr>
    <w:rPr>
      <w:rFonts w:cs="Arial"/>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LibreOffice/25.8.4.2$Windows_X86_64 LibreOffice_project/290daaa01b999472f0c7a3890eb6a550fd74c6df</Application>
  <AppVersion>15.0000</AppVersion>
  <Pages>5</Pages>
  <Words>882</Words>
  <Characters>6359</Characters>
  <CharactersWithSpaces>7217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2026-01-26T18:15:00Z</dcterms:created>
  <dc:creator>Şükrü Apaydın</dc:creator>
  <dc:description/>
  <dc:language>tr-TR</dc:language>
  <cp:lastModifiedBy/>
  <dcterms:modified xsi:type="dcterms:W3CDTF">2026-02-23T22:11:51Z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